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58</w:t>
      </w:r>
    </w:p>
    <w:p>
      <w:r>
        <w:t>Bundesgericht (BGE), 1983-01-04, FR</w:t>
      </w:r>
    </w:p>
    <w:p>
      <w:r>
        <w:rPr>
          <w:b/>
        </w:rPr>
        <w:t xml:space="preserve">Quelle: </w:t>
      </w:r>
      <w:r>
        <w:t>https://mcp.opencaselaw.ch/entscheid/bge_109 V 58</w:t>
      </w:r>
    </w:p>
    <w:p>
      <w:r>
        <w:t>FR: ATF 109 V 58</w:t>
      </w:r>
    </w:p>
    <w:p>
      <w:r>
        <w:t>IT: DTF 109 V 58</w:t>
      </w:r>
    </w:p>
    <w:p>
      <w:pPr>
        <w:pStyle w:val="Heading2"/>
      </w:pPr>
      <w:r>
        <w:t>Regeste</w:t>
      </w:r>
    </w:p>
    <w:p>
      <w:r>
        <w:t>Regeste Art. 103 lit. a OG. Beschwerdelegitimation (schutzwürdiges Interesse).</w:t>
      </w:r>
    </w:p>
    <w:p>
      <w:pPr>
        <w:pStyle w:val="Heading2"/>
      </w:pPr>
      <w:r>
        <w:t>Erwägungen</w:t>
      </w:r>
    </w:p>
    <w:p>
      <w:r>
        <w:rPr>
          <w:b/>
        </w:rPr>
        <w:t>E. 1</w:t>
      </w:r>
    </w:p>
    <w:p>
      <w:r>
        <w:t>Le recourant demande le rétablissement de la décision contre laquelle il avait recouru en première instance et qui a été partiellement réformée par l'autorité cantonale. On doit dès lors commencer par examiner s'il a qualité pour recourir. 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 ATF 108 Ib 93 , ATF 106 V 188 consid. 1; DTA 1980 no 30 p. 62). Un tel intérêt n'existe pas lorsque la décision a intégralement fait droit aux conclusions du requérant car, dans ce cas, le recours ne lui apporterait rien de plus que ce qu'il a déjà obtenu devant l'instance inférieure (SALADIN, Das Verwaltungsverfahrensrecht des Bundes, p. 175-176; GYGI, Bundesverwaltungsrechtspflege, p. 114 ad ch. 2.2.). En l'espèce, le recourant reproche implicitement à l'autorité cantonale de recours d'avoir réformé à son détriment une décision dont il demande maintenant le rétablissement. Il allègue ainsi un BGE 109 V 58 S. 60 préjudice résultant de l'admission partielle de son recours dans un sens entièrement différent de ce qu'il entendait obtenir en saisissant l'autorité de recours. Cela suffit pour qu'il puisse faire valoir un intérêt digne de protection au sens de l' art. 103 let. a OJ , quand bien même la motivation du jugement entrepris ne tend nullement à une reformatio in pejus. En effet, l'objet d'un recours de droit administratif est toujours le dispositif de la décision attaquée et non pas les motifs invoqués à l'appui de celui-ci ( ATF 106 V 92 consid. 1). Or, dans le cas particulier, c'est bien le dispositif du jugement rendu le 13 mai 1980 par la commission cantonale de recours que le recourant entend faire modifier, car c'est uniquement celui-ci qui fixe l'étendue de ses droits, indépendamment des motifs qui ont conduit les premiers juges à choisir cette solution. Le recours de droit administratif est dès lors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